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ENTREVISTA COM XXXX: subtítulo caso necessário (Times New Roman, tamanho 12, negrito, centralizado, espaço entre linhas simples)</w:t>
      </w:r>
    </w:p>
    <w:p w:rsidR="00000000" w:rsidDel="00000000" w:rsidP="00000000" w:rsidRDefault="00000000" w:rsidRPr="00000000" w14:paraId="00000002">
      <w:pPr>
        <w:spacing w:after="0" w:before="24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Entrevistador(a)</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3">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Entrevistado(a)</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0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Este template tem como objetivo auxiliar o(s) autor(es) no que se refere às normas e ao layout da página, bem como agilizar o processo de normalização e publicação para os(as) editores(as) da revista. </w:t>
      </w:r>
    </w:p>
    <w:p w:rsidR="00000000" w:rsidDel="00000000" w:rsidP="00000000" w:rsidRDefault="00000000" w:rsidRPr="00000000" w14:paraId="0000000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 uso deste não dispensa a consulta das diretrizes para autores, que pode ser feita por meio do endereço </w:t>
      </w:r>
      <w:hyperlink r:id="rId7">
        <w:r w:rsidDel="00000000" w:rsidR="00000000" w:rsidRPr="00000000">
          <w:rPr>
            <w:rFonts w:ascii="Times New Roman" w:cs="Times New Roman" w:eastAsia="Times New Roman" w:hAnsi="Times New Roman"/>
            <w:color w:val="0563c1"/>
            <w:sz w:val="24"/>
            <w:szCs w:val="24"/>
            <w:u w:val="single"/>
            <w:rtl w:val="0"/>
          </w:rPr>
          <w:t xml:space="preserve">https://periodicos.furg.br/momento</w:t>
        </w:r>
      </w:hyperlink>
      <w:r w:rsidDel="00000000" w:rsidR="00000000" w:rsidRPr="00000000">
        <w:rPr>
          <w:rFonts w:ascii="Times New Roman" w:cs="Times New Roman" w:eastAsia="Times New Roman" w:hAnsi="Times New Roman"/>
          <w:sz w:val="24"/>
          <w:szCs w:val="24"/>
          <w:rtl w:val="0"/>
        </w:rPr>
        <w:t xml:space="preserve">. Caso haja alguma dúvida entre em contato pelo e-mail </w:t>
      </w:r>
      <w:hyperlink r:id="rId8">
        <w:r w:rsidDel="00000000" w:rsidR="00000000" w:rsidRPr="00000000">
          <w:rPr>
            <w:rFonts w:ascii="Times New Roman" w:cs="Times New Roman" w:eastAsia="Times New Roman" w:hAnsi="Times New Roman"/>
            <w:color w:val="0563c1"/>
            <w:sz w:val="24"/>
            <w:szCs w:val="24"/>
            <w:u w:val="single"/>
            <w:rtl w:val="0"/>
          </w:rPr>
          <w:t xml:space="preserve">revistamomento@furg.br</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7">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ENTREVISTADOR(A): </w:t>
      </w:r>
      <w:r w:rsidDel="00000000" w:rsidR="00000000" w:rsidRPr="00000000">
        <w:rPr>
          <w:rFonts w:ascii="Times New Roman" w:cs="Times New Roman" w:eastAsia="Times New Roman" w:hAnsi="Times New Roman"/>
          <w:sz w:val="24"/>
          <w:szCs w:val="24"/>
          <w:rtl w:val="0"/>
        </w:rPr>
        <w:t xml:space="preserve">transcrição das perguntas e falas do(a) entrevistador(a) ou do(a) entrevistado(a) devem estar em fonte Times New Roman, tamanho 12, justificado, espaço 1,5, com espaçamento entre parágrafos). As páginas </w:t>
      </w:r>
      <w:r w:rsidDel="00000000" w:rsidR="00000000" w:rsidRPr="00000000">
        <w:rPr>
          <w:rFonts w:ascii="Times New Roman" w:cs="Times New Roman" w:eastAsia="Times New Roman" w:hAnsi="Times New Roman"/>
          <w:sz w:val="24"/>
          <w:szCs w:val="24"/>
          <w:highlight w:val="white"/>
          <w:rtl w:val="0"/>
        </w:rPr>
        <w:t xml:space="preserve">deverão ser configuradas para papel A4, observando as seguintes orientações: margem direita/superior/inferior 2,5 cm; margem esquerda 3,0 cm.</w:t>
      </w:r>
      <w:r w:rsidDel="00000000" w:rsidR="00000000" w:rsidRPr="00000000">
        <w:rPr>
          <w:rtl w:val="0"/>
        </w:rPr>
      </w:r>
    </w:p>
    <w:p w:rsidR="00000000" w:rsidDel="00000000" w:rsidP="00000000" w:rsidRDefault="00000000" w:rsidRPr="00000000" w14:paraId="00000008">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ENTREVISTADO(A): </w:t>
      </w:r>
      <w:r w:rsidDel="00000000" w:rsidR="00000000" w:rsidRPr="00000000">
        <w:rPr>
          <w:rFonts w:ascii="Times New Roman" w:cs="Times New Roman" w:eastAsia="Times New Roman" w:hAnsi="Times New Roman"/>
          <w:sz w:val="24"/>
          <w:szCs w:val="24"/>
          <w:rtl w:val="0"/>
        </w:rPr>
        <w:t xml:space="preserve">sugere-se o mínimo de 5 e o máximo de 8 questões.</w:t>
      </w:r>
    </w:p>
    <w:p w:rsidR="00000000" w:rsidDel="00000000" w:rsidP="00000000" w:rsidRDefault="00000000" w:rsidRPr="00000000" w14:paraId="00000009">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Referências (caso necessário)</w:t>
      </w:r>
    </w:p>
    <w:p w:rsidR="00000000" w:rsidDel="00000000" w:rsidP="00000000" w:rsidRDefault="00000000" w:rsidRPr="00000000" w14:paraId="0000000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As referências devem seguir as normas da APA. Espaçamento entrelinhas duplo, alinhamento à esquerda.  Recuo especial deslocamento a partir da segunda linha da referência.</w:t>
      </w:r>
    </w:p>
    <w:p w:rsidR="00000000" w:rsidDel="00000000" w:rsidP="00000000" w:rsidRDefault="00000000" w:rsidRPr="00000000" w14:paraId="0000000C">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0"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Exemplos:</w:t>
      </w:r>
    </w:p>
    <w:p w:rsidR="00000000" w:rsidDel="00000000" w:rsidP="00000000" w:rsidRDefault="00000000" w:rsidRPr="00000000" w14:paraId="0000000E">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Avery, R. J., Bryant, W. K., Mathios, A., Kang, H., &amp; Bell, D. (2006). Electronic course evaluations: Does an online delivery system influence student evaluations? </w:t>
      </w:r>
      <w:r w:rsidDel="00000000" w:rsidR="00000000" w:rsidRPr="00000000">
        <w:rPr>
          <w:rFonts w:ascii="Times New Roman" w:cs="Times New Roman" w:eastAsia="Times New Roman" w:hAnsi="Times New Roman"/>
          <w:i w:val="1"/>
          <w:sz w:val="24"/>
          <w:szCs w:val="24"/>
          <w:rtl w:val="0"/>
        </w:rPr>
        <w:t xml:space="preserve">The Journal of Economic Education</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37</w:t>
      </w:r>
      <w:r w:rsidDel="00000000" w:rsidR="00000000" w:rsidRPr="00000000">
        <w:rPr>
          <w:rFonts w:ascii="Times New Roman" w:cs="Times New Roman" w:eastAsia="Times New Roman" w:hAnsi="Times New Roman"/>
          <w:sz w:val="24"/>
          <w:szCs w:val="24"/>
          <w:rtl w:val="0"/>
        </w:rPr>
        <w:t xml:space="preserve">(1), 21–37. </w:t>
      </w:r>
      <w:hyperlink r:id="rId9">
        <w:r w:rsidDel="00000000" w:rsidR="00000000" w:rsidRPr="00000000">
          <w:rPr>
            <w:rFonts w:ascii="Times New Roman" w:cs="Times New Roman" w:eastAsia="Times New Roman" w:hAnsi="Times New Roman"/>
            <w:color w:val="0563c1"/>
            <w:sz w:val="24"/>
            <w:szCs w:val="24"/>
            <w:u w:val="single"/>
            <w:rtl w:val="0"/>
          </w:rPr>
          <w:t xml:space="preserve">https://doi.org/10.3200/JECE.37.1.21-37</w:t>
        </w:r>
      </w:hyperlink>
      <w:r w:rsidDel="00000000" w:rsidR="00000000" w:rsidRPr="00000000">
        <w:rPr>
          <w:rtl w:val="0"/>
        </w:rPr>
      </w:r>
    </w:p>
    <w:p w:rsidR="00000000" w:rsidDel="00000000" w:rsidP="00000000" w:rsidRDefault="00000000" w:rsidRPr="00000000" w14:paraId="0000000F">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Berk, R. A. (2012). Top 20 strategies to increase the online response rates of student rating scales. </w:t>
      </w:r>
      <w:r w:rsidDel="00000000" w:rsidR="00000000" w:rsidRPr="00000000">
        <w:rPr>
          <w:rFonts w:ascii="Times New Roman" w:cs="Times New Roman" w:eastAsia="Times New Roman" w:hAnsi="Times New Roman"/>
          <w:i w:val="1"/>
          <w:sz w:val="24"/>
          <w:szCs w:val="24"/>
          <w:rtl w:val="0"/>
        </w:rPr>
        <w:t xml:space="preserve">International Journal of Technology in Teaching and Learning</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8</w:t>
      </w:r>
      <w:r w:rsidDel="00000000" w:rsidR="00000000" w:rsidRPr="00000000">
        <w:rPr>
          <w:rFonts w:ascii="Times New Roman" w:cs="Times New Roman" w:eastAsia="Times New Roman" w:hAnsi="Times New Roman"/>
          <w:sz w:val="24"/>
          <w:szCs w:val="24"/>
          <w:rtl w:val="0"/>
        </w:rPr>
        <w:t xml:space="preserve">(2), 98–107.</w:t>
      </w:r>
    </w:p>
    <w:p w:rsidR="00000000" w:rsidDel="00000000" w:rsidP="00000000" w:rsidRDefault="00000000" w:rsidRPr="00000000" w14:paraId="00000010">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Berk, R. A. (2013). </w:t>
      </w:r>
      <w:r w:rsidDel="00000000" w:rsidR="00000000" w:rsidRPr="00000000">
        <w:rPr>
          <w:rFonts w:ascii="Times New Roman" w:cs="Times New Roman" w:eastAsia="Times New Roman" w:hAnsi="Times New Roman"/>
          <w:i w:val="1"/>
          <w:sz w:val="24"/>
          <w:szCs w:val="24"/>
          <w:rtl w:val="0"/>
        </w:rPr>
        <w:t xml:space="preserve">Top 10 flashpoints in student ratings and the evaluation of teaching</w:t>
      </w:r>
      <w:r w:rsidDel="00000000" w:rsidR="00000000" w:rsidRPr="00000000">
        <w:rPr>
          <w:rFonts w:ascii="Times New Roman" w:cs="Times New Roman" w:eastAsia="Times New Roman" w:hAnsi="Times New Roman"/>
          <w:sz w:val="24"/>
          <w:szCs w:val="24"/>
          <w:rtl w:val="0"/>
        </w:rPr>
        <w:t xml:space="preserve">. Stylus.</w:t>
      </w:r>
    </w:p>
    <w:p w:rsidR="00000000" w:rsidDel="00000000" w:rsidP="00000000" w:rsidRDefault="00000000" w:rsidRPr="00000000" w14:paraId="00000011">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Boysen, G. A. (2015a). Preventing the overinterpretation of small mean differences in student evaluations of teaching: An evaluation of warning effectiveness. </w:t>
      </w:r>
      <w:r w:rsidDel="00000000" w:rsidR="00000000" w:rsidRPr="00000000">
        <w:rPr>
          <w:rFonts w:ascii="Times New Roman" w:cs="Times New Roman" w:eastAsia="Times New Roman" w:hAnsi="Times New Roman"/>
          <w:i w:val="1"/>
          <w:sz w:val="24"/>
          <w:szCs w:val="24"/>
          <w:rtl w:val="0"/>
        </w:rPr>
        <w:t xml:space="preserve">Scholarship of Teaching and Learning in Psychology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w:t>
      </w:r>
      <w:r w:rsidDel="00000000" w:rsidR="00000000" w:rsidRPr="00000000">
        <w:rPr>
          <w:rFonts w:ascii="Times New Roman" w:cs="Times New Roman" w:eastAsia="Times New Roman" w:hAnsi="Times New Roman"/>
          <w:sz w:val="24"/>
          <w:szCs w:val="24"/>
          <w:rtl w:val="0"/>
        </w:rPr>
        <w:t xml:space="preserve">(4), 269–282.</w:t>
      </w:r>
      <w:r w:rsidDel="00000000" w:rsidR="00000000" w:rsidRPr="00000000">
        <w:rPr>
          <w:rFonts w:ascii="Times New Roman" w:cs="Times New Roman" w:eastAsia="Times New Roman" w:hAnsi="Times New Roman"/>
          <w:color w:val="000000"/>
          <w:sz w:val="24"/>
          <w:szCs w:val="24"/>
          <w:u w:val="single"/>
          <w:rtl w:val="0"/>
        </w:rPr>
        <w:t xml:space="preserve"> </w:t>
      </w:r>
      <w:hyperlink r:id="rId10">
        <w:r w:rsidDel="00000000" w:rsidR="00000000" w:rsidRPr="00000000">
          <w:rPr>
            <w:rFonts w:ascii="Times New Roman" w:cs="Times New Roman" w:eastAsia="Times New Roman" w:hAnsi="Times New Roman"/>
            <w:color w:val="0563c1"/>
            <w:sz w:val="24"/>
            <w:szCs w:val="24"/>
            <w:u w:val="single"/>
            <w:rtl w:val="0"/>
          </w:rPr>
          <w:t xml:space="preserve">https://doi.org/10.1037/stl0000042</w:t>
        </w:r>
      </w:hyperlink>
      <w:r w:rsidDel="00000000" w:rsidR="00000000" w:rsidRPr="00000000">
        <w:rPr>
          <w:rtl w:val="0"/>
        </w:rPr>
      </w:r>
    </w:p>
    <w:p w:rsidR="00000000" w:rsidDel="00000000" w:rsidP="00000000" w:rsidRDefault="00000000" w:rsidRPr="00000000" w14:paraId="00000012">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Boysen, G. A. (2015b). Significant interpretation of small mean differences in student evaluations of teaching despite explicit warning to avoid overinterpretation. </w:t>
      </w:r>
      <w:r w:rsidDel="00000000" w:rsidR="00000000" w:rsidRPr="00000000">
        <w:rPr>
          <w:rFonts w:ascii="Times New Roman" w:cs="Times New Roman" w:eastAsia="Times New Roman" w:hAnsi="Times New Roman"/>
          <w:i w:val="1"/>
          <w:sz w:val="24"/>
          <w:szCs w:val="24"/>
          <w:rtl w:val="0"/>
        </w:rPr>
        <w:t xml:space="preserve">Scholarship of Teaching and Learning in Psychology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w:t>
      </w:r>
      <w:r w:rsidDel="00000000" w:rsidR="00000000" w:rsidRPr="00000000">
        <w:rPr>
          <w:rFonts w:ascii="Times New Roman" w:cs="Times New Roman" w:eastAsia="Times New Roman" w:hAnsi="Times New Roman"/>
          <w:sz w:val="24"/>
          <w:szCs w:val="24"/>
          <w:rtl w:val="0"/>
        </w:rPr>
        <w:t xml:space="preserve">(2), 150–162. </w:t>
      </w:r>
      <w:hyperlink r:id="rId11">
        <w:r w:rsidDel="00000000" w:rsidR="00000000" w:rsidRPr="00000000">
          <w:rPr>
            <w:rFonts w:ascii="Times New Roman" w:cs="Times New Roman" w:eastAsia="Times New Roman" w:hAnsi="Times New Roman"/>
            <w:color w:val="0563c1"/>
            <w:sz w:val="24"/>
            <w:szCs w:val="24"/>
            <w:u w:val="single"/>
            <w:rtl w:val="0"/>
          </w:rPr>
          <w:t xml:space="preserve">https://doi.org/10.1037/stl0000017</w:t>
        </w:r>
      </w:hyperlink>
      <w:r w:rsidDel="00000000" w:rsidR="00000000" w:rsidRPr="00000000">
        <w:rPr>
          <w:rtl w:val="0"/>
        </w:rPr>
      </w:r>
    </w:p>
    <w:p w:rsidR="00000000" w:rsidDel="00000000" w:rsidP="00000000" w:rsidRDefault="00000000" w:rsidRPr="00000000" w14:paraId="00000013">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Boysen, G. A., Kelly, T. J., Raesly, H. N., &amp; Casner, R. W. (2014). The (mis)interpretation of teaching evaluations by college faculty and administrators. </w:t>
      </w:r>
      <w:r w:rsidDel="00000000" w:rsidR="00000000" w:rsidRPr="00000000">
        <w:rPr>
          <w:rFonts w:ascii="Times New Roman" w:cs="Times New Roman" w:eastAsia="Times New Roman" w:hAnsi="Times New Roman"/>
          <w:i w:val="1"/>
          <w:sz w:val="24"/>
          <w:szCs w:val="24"/>
          <w:rtl w:val="0"/>
        </w:rPr>
        <w:t xml:space="preserve">Assessment &amp; Evaluation in Higher Education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39</w:t>
      </w:r>
      <w:r w:rsidDel="00000000" w:rsidR="00000000" w:rsidRPr="00000000">
        <w:rPr>
          <w:rFonts w:ascii="Times New Roman" w:cs="Times New Roman" w:eastAsia="Times New Roman" w:hAnsi="Times New Roman"/>
          <w:sz w:val="24"/>
          <w:szCs w:val="24"/>
          <w:rtl w:val="0"/>
        </w:rPr>
        <w:t xml:space="preserve">(6), 641–656. </w:t>
      </w:r>
      <w:hyperlink r:id="rId12">
        <w:r w:rsidDel="00000000" w:rsidR="00000000" w:rsidRPr="00000000">
          <w:rPr>
            <w:rFonts w:ascii="Times New Roman" w:cs="Times New Roman" w:eastAsia="Times New Roman" w:hAnsi="Times New Roman"/>
            <w:color w:val="0563c1"/>
            <w:sz w:val="24"/>
            <w:szCs w:val="24"/>
            <w:u w:val="single"/>
            <w:rtl w:val="0"/>
          </w:rPr>
          <w:t xml:space="preserve">https://doi.org/10.1080/02602938.2013.860950</w:t>
        </w:r>
      </w:hyperlink>
      <w:r w:rsidDel="00000000" w:rsidR="00000000" w:rsidRPr="00000000">
        <w:rPr>
          <w:rtl w:val="0"/>
        </w:rPr>
      </w:r>
    </w:p>
    <w:p w:rsidR="00000000" w:rsidDel="00000000" w:rsidP="00000000" w:rsidRDefault="00000000" w:rsidRPr="00000000" w14:paraId="00000014">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Dewar, J. M. (2011). Helping stakeholders understand the limitations of SRT data: Are we doing enough? </w:t>
      </w:r>
      <w:r w:rsidDel="00000000" w:rsidR="00000000" w:rsidRPr="00000000">
        <w:rPr>
          <w:rFonts w:ascii="Times New Roman" w:cs="Times New Roman" w:eastAsia="Times New Roman" w:hAnsi="Times New Roman"/>
          <w:i w:val="1"/>
          <w:sz w:val="24"/>
          <w:szCs w:val="24"/>
          <w:rtl w:val="0"/>
        </w:rPr>
        <w:t xml:space="preserve">Journal of Faculty Development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25</w:t>
      </w:r>
      <w:r w:rsidDel="00000000" w:rsidR="00000000" w:rsidRPr="00000000">
        <w:rPr>
          <w:rFonts w:ascii="Times New Roman" w:cs="Times New Roman" w:eastAsia="Times New Roman" w:hAnsi="Times New Roman"/>
          <w:sz w:val="24"/>
          <w:szCs w:val="24"/>
          <w:rtl w:val="0"/>
        </w:rPr>
        <w:t xml:space="preserve">(3), 40–44.</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Submissão em: xx/xx/xxxx</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Aceito em: xx/xx/xxxx</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40" w:lineRule="auto"/>
        <w:jc w:val="right"/>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40" w:lineRule="auto"/>
        <w:jc w:val="right"/>
        <w:rPr>
          <w:rFonts w:ascii="Times New Roman" w:cs="Times New Roman" w:eastAsia="Times New Roman" w:hAnsi="Times New Roman"/>
          <w:color w:val="000000"/>
          <w:sz w:val="2"/>
          <w:szCs w:val="2"/>
        </w:rPr>
      </w:pPr>
      <w:r w:rsidDel="00000000" w:rsidR="00000000" w:rsidRPr="00000000">
        <w:rPr>
          <w:rFonts w:ascii="Times New Roman" w:cs="Times New Roman" w:eastAsia="Times New Roman" w:hAnsi="Times New Roman"/>
          <w:color w:val="000000"/>
          <w:sz w:val="24"/>
          <w:szCs w:val="24"/>
          <w:rtl w:val="0"/>
        </w:rPr>
        <w:t xml:space="preserve">Referências conforme normas da:</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40" w:lineRule="auto"/>
        <w:jc w:val="right"/>
        <w:rPr>
          <w:rFonts w:ascii="Times New Roman" w:cs="Times New Roman" w:eastAsia="Times New Roman" w:hAnsi="Times New Roman"/>
          <w:b w:val="1"/>
          <w:color w:val="000000"/>
          <w:sz w:val="4"/>
          <w:szCs w:val="4"/>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40" w:lineRule="auto"/>
        <w:jc w:val="right"/>
        <w:rPr>
          <w:rFonts w:ascii="Times New Roman" w:cs="Times New Roman" w:eastAsia="Times New Roman" w:hAnsi="Times New Roman"/>
          <w:color w:val="000000"/>
          <w:sz w:val="24"/>
          <w:szCs w:val="24"/>
        </w:rPr>
      </w:pPr>
      <w:bookmarkStart w:colFirst="0" w:colLast="0" w:name="_gjdgxs" w:id="0"/>
      <w:bookmarkEnd w:id="0"/>
      <w:r w:rsidDel="00000000" w:rsidR="00000000" w:rsidRPr="00000000">
        <w:rPr>
          <w:rFonts w:ascii="Times New Roman" w:cs="Times New Roman" w:eastAsia="Times New Roman" w:hAnsi="Times New Roman"/>
          <w:color w:val="000000"/>
          <w:sz w:val="24"/>
          <w:szCs w:val="24"/>
        </w:rPr>
        <w:drawing>
          <wp:inline distB="0" distT="0" distL="0" distR="0">
            <wp:extent cx="1536586" cy="607011"/>
            <wp:effectExtent b="0" l="0" r="0" t="0"/>
            <wp:docPr descr="Janela de vidro&#10;&#10;Descrição gerada automaticamente com confiança baixa" id="2" name="image2.png"/>
            <a:graphic>
              <a:graphicData uri="http://schemas.openxmlformats.org/drawingml/2006/picture">
                <pic:pic>
                  <pic:nvPicPr>
                    <pic:cNvPr descr="Janela de vidro&#10;&#10;Descrição gerada automaticamente com confiança baixa" id="0" name="image2.png"/>
                    <pic:cNvPicPr preferRelativeResize="0"/>
                  </pic:nvPicPr>
                  <pic:blipFill>
                    <a:blip r:embed="rId13"/>
                    <a:srcRect b="0" l="0" r="0" t="0"/>
                    <a:stretch>
                      <a:fillRect/>
                    </a:stretch>
                  </pic:blipFill>
                  <pic:spPr>
                    <a:xfrm>
                      <a:off x="0" y="0"/>
                      <a:ext cx="1536586" cy="607011"/>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spacing w:after="0" w:line="360" w:lineRule="auto"/>
        <w:jc w:val="right"/>
        <w:rPr/>
      </w:pPr>
      <w:r w:rsidDel="00000000" w:rsidR="00000000" w:rsidRPr="00000000">
        <w:rPr>
          <w:rtl w:val="0"/>
        </w:rPr>
      </w:r>
    </w:p>
    <w:sectPr>
      <w:headerReference r:id="rId14" w:type="default"/>
      <w:headerReference r:id="rId15" w:type="first"/>
      <w:headerReference r:id="rId16" w:type="even"/>
      <w:footerReference r:id="rId17" w:type="default"/>
      <w:footerReference r:id="rId18" w:type="first"/>
      <w:footerReference r:id="rId19" w:type="even"/>
      <w:pgSz w:h="16838" w:w="11906" w:orient="portrait"/>
      <w:pgMar w:bottom="1133" w:top="1700" w:left="1700" w:right="1133" w:header="0"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Revista Momento – diálogos em educação, E-ISSN 2316-3100, v. x, n. x, p. xx-xx, mês/mês., ano.</w:t>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DOI:</w:t>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center" w:leader="none" w:pos="4252"/>
        <w:tab w:val="right" w:leader="none" w:pos="8504"/>
        <w:tab w:val="left" w:leader="none" w:pos="1190"/>
      </w:tabs>
      <w:spacing w:after="0" w:line="240" w:lineRule="auto"/>
      <w:rPr>
        <w:rFonts w:ascii="Times New Roman" w:cs="Times New Roman" w:eastAsia="Times New Roman" w:hAnsi="Times New Roman"/>
        <w:color w:val="000000"/>
        <w:sz w:val="24"/>
        <w:szCs w:val="24"/>
      </w:rPr>
    </w:pPr>
    <w:r w:rsidDel="00000000" w:rsidR="00000000" w:rsidRPr="00000000">
      <w:rPr>
        <w:color w:val="000000"/>
      </w:rPr>
      <w:drawing>
        <wp:inline distB="0" distT="0" distL="0" distR="0">
          <wp:extent cx="2584634" cy="156742"/>
          <wp:effectExtent b="0" l="0" r="0" t="0"/>
          <wp:docPr descr="Interface gráfica do usuário, Aplicativo, Word&#10;&#10;Descrição gerada automaticamente" id="3" name="image3.png"/>
          <a:graphic>
            <a:graphicData uri="http://schemas.openxmlformats.org/drawingml/2006/picture">
              <pic:pic>
                <pic:nvPicPr>
                  <pic:cNvPr descr="Interface gráfica do usuário, Aplicativo, Word&#10;&#10;Descrição gerada automaticamente" id="0" name="image3.png"/>
                  <pic:cNvPicPr preferRelativeResize="0"/>
                </pic:nvPicPr>
                <pic:blipFill>
                  <a:blip r:embed="rId1"/>
                  <a:srcRect b="47691" l="4011" r="51292" t="43873"/>
                  <a:stretch>
                    <a:fillRect/>
                  </a:stretch>
                </pic:blipFill>
                <pic:spPr>
                  <a:xfrm>
                    <a:off x="0" y="0"/>
                    <a:ext cx="2584634" cy="156742"/>
                  </a:xfrm>
                  <a:prstGeom prst="rect"/>
                  <a:ln/>
                </pic:spPr>
              </pic:pic>
            </a:graphicData>
          </a:graphic>
        </wp:inline>
      </w:drawing>
    </w:r>
    <w:r w:rsidDel="00000000" w:rsidR="00000000" w:rsidRPr="00000000">
      <w:rPr>
        <w:rFonts w:ascii="Times New Roman" w:cs="Times New Roman" w:eastAsia="Times New Roman" w:hAnsi="Times New Roman"/>
        <w:color w:val="000000"/>
        <w:sz w:val="24"/>
        <w:szCs w:val="24"/>
        <w:rtl w:val="0"/>
      </w:rPr>
      <w:tab/>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Para garantir a avaliação as cegas, não colocar o nome dos(as) autores(as) no primeiro momento. Espaçamento entrelinhas simples entre o nome dos autores.</w:t>
      </w:r>
    </w:p>
  </w:footnote>
  <w:footnote w:id="1">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Durante a submissão do artigo, na aba “contribuidores”, informar nome, e-mail, país, Orcid ID, instituição e resumo da biografia de todos(as) os(as) autores(as). No resumo da biografia dos(as) autores(as) devem constar apenas: titulação, graduação, instituição, grupo de pesquisa (se houver) e e-mail de contato, totalizando no máximo 4 linhas. </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Ex: Doutor em Educação pela Universidade Federal do Rio Grande. Mestre em Educação pela Universidade Federal do Rio Grande. Professor adjunto na Universidade Federal do Rio Grande. Membro do Grupo de Estudos em Alfabetização e Letramento – GEALI da Universidade Federal do Rio Grande. E-mail de contato: </w:t>
      </w:r>
      <w:hyperlink r:id="rId1">
        <w:r w:rsidDel="00000000" w:rsidR="00000000" w:rsidRPr="00000000">
          <w:rPr>
            <w:rFonts w:ascii="Times New Roman" w:cs="Times New Roman" w:eastAsia="Times New Roman" w:hAnsi="Times New Roman"/>
            <w:color w:val="0563c1"/>
            <w:sz w:val="20"/>
            <w:szCs w:val="20"/>
            <w:u w:val="single"/>
            <w:rtl w:val="0"/>
          </w:rPr>
          <w:t xml:space="preserve">exemplo@exemplo.com</w:t>
        </w:r>
      </w:hyperlink>
      <w:r w:rsidDel="00000000" w:rsidR="00000000" w:rsidRPr="00000000">
        <w:rPr>
          <w:rFonts w:ascii="Times New Roman" w:cs="Times New Roman" w:eastAsia="Times New Roman" w:hAnsi="Times New Roman"/>
          <w:color w:val="000000"/>
          <w:sz w:val="20"/>
          <w:szCs w:val="20"/>
          <w:rtl w:val="0"/>
        </w:rPr>
        <w:t xml:space="preserve">.</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ind w:left="-1701" w:firstLine="0"/>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-1057273</wp:posOffset>
          </wp:positionH>
          <wp:positionV relativeFrom="paragraph">
            <wp:posOffset>19050</wp:posOffset>
          </wp:positionV>
          <wp:extent cx="7590535" cy="1543507"/>
          <wp:effectExtent b="0" l="0" r="0" t="0"/>
          <wp:wrapTopAndBottom distB="0" distT="0"/>
          <wp:docPr descr="Logotipo, nome da empresa&#10;&#10;Descrição gerada automaticamente" id="1" name="image1.png"/>
          <a:graphic>
            <a:graphicData uri="http://schemas.openxmlformats.org/drawingml/2006/picture">
              <pic:pic>
                <pic:nvPicPr>
                  <pic:cNvPr descr="Logotipo, nome da empresa&#10;&#10;Descrição gerada automaticamente" id="0" name="image1.png"/>
                  <pic:cNvPicPr preferRelativeResize="0"/>
                </pic:nvPicPr>
                <pic:blipFill>
                  <a:blip r:embed="rId1"/>
                  <a:srcRect b="0" l="0" r="0" t="0"/>
                  <a:stretch>
                    <a:fillRect/>
                  </a:stretch>
                </pic:blipFill>
                <pic:spPr>
                  <a:xfrm>
                    <a:off x="0" y="0"/>
                    <a:ext cx="7590535" cy="1543507"/>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doi.org/10.1037/stl0000017" TargetMode="External"/><Relationship Id="rId10" Type="http://schemas.openxmlformats.org/officeDocument/2006/relationships/hyperlink" Target="https://doi.org/10.1037/stl0000042" TargetMode="External"/><Relationship Id="rId13" Type="http://schemas.openxmlformats.org/officeDocument/2006/relationships/image" Target="media/image2.png"/><Relationship Id="rId12" Type="http://schemas.openxmlformats.org/officeDocument/2006/relationships/hyperlink" Target="https://doi.org/10.1080/02602938.2013.86095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oi.org/10.3200/JECE.37.1.21-37" TargetMode="External"/><Relationship Id="rId15" Type="http://schemas.openxmlformats.org/officeDocument/2006/relationships/header" Target="header3.xml"/><Relationship Id="rId14"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2.xml"/><Relationship Id="rId5" Type="http://schemas.openxmlformats.org/officeDocument/2006/relationships/numbering" Target="numbering.xml"/><Relationship Id="rId19" Type="http://schemas.openxmlformats.org/officeDocument/2006/relationships/footer" Target="footer1.xml"/><Relationship Id="rId6" Type="http://schemas.openxmlformats.org/officeDocument/2006/relationships/styles" Target="styles.xml"/><Relationship Id="rId18" Type="http://schemas.openxmlformats.org/officeDocument/2006/relationships/footer" Target="footer2.xml"/><Relationship Id="rId7" Type="http://schemas.openxmlformats.org/officeDocument/2006/relationships/hyperlink" Target="https://periodicos.furg.br/momento" TargetMode="External"/><Relationship Id="rId8" Type="http://schemas.openxmlformats.org/officeDocument/2006/relationships/hyperlink" Target="mailto:revistamomento@furg.br"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mailto:exemplo@exempl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