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DO ARTIGO: subtítulo do artigo (Times New Roman, tamanho 12, negrito, centralizado, espaço entre linhas simples)</w:t>
      </w:r>
    </w:p>
    <w:p w:rsidR="00000000" w:rsidDel="00000000" w:rsidP="00000000" w:rsidRDefault="00000000" w:rsidRPr="00000000" w14:paraId="00000002">
      <w:pPr>
        <w:spacing w:after="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Resumo: </w:t>
      </w:r>
      <w:r w:rsidDel="00000000" w:rsidR="00000000" w:rsidRPr="00000000">
        <w:rPr>
          <w:rFonts w:ascii="Times New Roman" w:cs="Times New Roman" w:eastAsia="Times New Roman" w:hAnsi="Times New Roman"/>
          <w:rtl w:val="0"/>
        </w:rPr>
        <w:t xml:space="preserve">o artigo deve apresentar resumo em português entre 150 e 250 palavras, com fonte Times New Roman, tamanho 11, espaçamento entrelinhas duplo, alinhamento justificado. Deve conter um espaçamento duplo entre resumo e palavras-chave. O resumo deve ter objetivo, metodologia e resultados.</w:t>
      </w:r>
    </w:p>
    <w:p w:rsidR="00000000" w:rsidDel="00000000" w:rsidP="00000000" w:rsidRDefault="00000000" w:rsidRPr="00000000" w14:paraId="00000006">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Palavras-chave: </w:t>
      </w:r>
      <w:r w:rsidDel="00000000" w:rsidR="00000000" w:rsidRPr="00000000">
        <w:rPr>
          <w:rFonts w:ascii="Times New Roman" w:cs="Times New Roman" w:eastAsia="Times New Roman" w:hAnsi="Times New Roman"/>
          <w:rtl w:val="0"/>
        </w:rPr>
        <w:t xml:space="preserve">indicação de 3 a 5 palavras-chave, que constem no Thesaurus Brasileiro da Educação, separadas por virgula(,). </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ENGLISH TITLE: subtitle (Times New Roman, tamanho 12, negrito, centralizado, espaço entre linhas simples)</w:t>
      </w:r>
    </w:p>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 </w:t>
      </w:r>
      <w:r w:rsidDel="00000000" w:rsidR="00000000" w:rsidRPr="00000000">
        <w:rPr>
          <w:rFonts w:ascii="Times New Roman" w:cs="Times New Roman" w:eastAsia="Times New Roman" w:hAnsi="Times New Roman"/>
          <w:rtl w:val="0"/>
        </w:rPr>
        <w:t xml:space="preserve">o artigo deve apresentar resumo em inglês entre 150 e 250 palavras, com fonte Times New Roman, tamanho 11, espaçamento entrelinhas duplo, alinhamento justificado. Deve conter um espaçamento duplo entre resumo e palavras-chave. O resumo deve ter objetivo, metodologia e resultados.</w:t>
      </w:r>
    </w:p>
    <w:p w:rsidR="00000000" w:rsidDel="00000000" w:rsidP="00000000" w:rsidRDefault="00000000" w:rsidRPr="00000000" w14:paraId="0000000C">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 </w:t>
      </w:r>
      <w:r w:rsidDel="00000000" w:rsidR="00000000" w:rsidRPr="00000000">
        <w:rPr>
          <w:rFonts w:ascii="Times New Roman" w:cs="Times New Roman" w:eastAsia="Times New Roman" w:hAnsi="Times New Roman"/>
          <w:rtl w:val="0"/>
        </w:rPr>
        <w:t xml:space="preserve">indicação de 3 a 5 palavras-chave, que constem no Thesaurus Brasileiro da Educação, separadas por virgula(,). </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EN ESPAÑOL: subtítulo (Times New Roman, tamanho 12, negrito, centralizado, espaço entre linhas simples)</w:t>
      </w:r>
    </w:p>
    <w:p w:rsidR="00000000" w:rsidDel="00000000" w:rsidP="00000000" w:rsidRDefault="00000000" w:rsidRPr="00000000" w14:paraId="0000001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Resumen </w:t>
      </w:r>
      <w:r w:rsidDel="00000000" w:rsidR="00000000" w:rsidRPr="00000000">
        <w:rPr>
          <w:rFonts w:ascii="Times New Roman" w:cs="Times New Roman" w:eastAsia="Times New Roman" w:hAnsi="Times New Roman"/>
          <w:rtl w:val="0"/>
        </w:rPr>
        <w:t xml:space="preserve">o artigo deve apresentar resumo em espanhol entre 150 e 250 palavras, com fonte Times New Roman, tamanho 11, espaçamento entrelinhas duplo, alinhamento justificado. Deve conter um espaçamento duplo entre resumo e palavras-chave. O resumo deve ter objetivo, metodologia e resultados.</w:t>
      </w:r>
    </w:p>
    <w:p w:rsidR="00000000" w:rsidDel="00000000" w:rsidP="00000000" w:rsidRDefault="00000000" w:rsidRPr="00000000" w14:paraId="00000012">
      <w:pPr>
        <w:spacing w:after="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Palavras-clave: </w:t>
      </w:r>
      <w:r w:rsidDel="00000000" w:rsidR="00000000" w:rsidRPr="00000000">
        <w:rPr>
          <w:rFonts w:ascii="Times New Roman" w:cs="Times New Roman" w:eastAsia="Times New Roman" w:hAnsi="Times New Roman"/>
          <w:rtl w:val="0"/>
        </w:rPr>
        <w:t xml:space="preserve">indicação de 3 a 5 palavras-chave, que constem no Thesaurus Brasileiro da Educação, separadas por virgula(,). </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 (sem numeração, em negrito, letras minúsculas e com espaçamento entre linhas 1,5)</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Este template tem como objetivo auxiliar o(s) autor(es) no que se refere às normas e ao layout do arquivo, bem como agilizar o processo de normalização e publicação para os editores da revista. </w:t>
      </w:r>
    </w:p>
    <w:p w:rsidR="00000000" w:rsidDel="00000000" w:rsidP="00000000" w:rsidRDefault="00000000" w:rsidRPr="00000000" w14:paraId="0000001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Buscou-se neste apresentar a estrutura do artigo. Neste sentido, os(as) autores(as) poderão usá-lo para fins de orientação quanto a formatação. O autor pode escrever em cima deste documento, apenas substituindo o texto. Os autores, certamente, decidirão pelos títulos das seções como melhor lhes convir.</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uso deste não dispensa a consulta das diretrizes para autores, que pode ser feita por meio do endereço </w:t>
      </w:r>
      <w:hyperlink r:id="rId7">
        <w:r w:rsidDel="00000000" w:rsidR="00000000" w:rsidRPr="00000000">
          <w:rPr>
            <w:rFonts w:ascii="Times New Roman" w:cs="Times New Roman" w:eastAsia="Times New Roman" w:hAnsi="Times New Roman"/>
            <w:color w:val="0563c1"/>
            <w:sz w:val="24"/>
            <w:szCs w:val="24"/>
            <w:u w:val="single"/>
            <w:rtl w:val="0"/>
          </w:rPr>
          <w:t xml:space="preserve">https://periodicos.furg.br/momento</w:t>
        </w:r>
      </w:hyperlink>
      <w:r w:rsidDel="00000000" w:rsidR="00000000" w:rsidRPr="00000000">
        <w:rPr>
          <w:rFonts w:ascii="Times New Roman" w:cs="Times New Roman" w:eastAsia="Times New Roman" w:hAnsi="Times New Roman"/>
          <w:sz w:val="24"/>
          <w:szCs w:val="24"/>
          <w:rtl w:val="0"/>
        </w:rPr>
        <w:t xml:space="preserve">. Caso haja alguma dúvida entre em contato pelo e-mail </w:t>
      </w:r>
      <w:hyperlink r:id="rId8">
        <w:r w:rsidDel="00000000" w:rsidR="00000000" w:rsidRPr="00000000">
          <w:rPr>
            <w:rFonts w:ascii="Times New Roman" w:cs="Times New Roman" w:eastAsia="Times New Roman" w:hAnsi="Times New Roman"/>
            <w:color w:val="0563c1"/>
            <w:sz w:val="24"/>
            <w:szCs w:val="24"/>
            <w:u w:val="single"/>
            <w:rtl w:val="0"/>
          </w:rPr>
          <w:t xml:space="preserve">revistamomento@furg.br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da seção (sem numeração, em negrito, em letra minúscula e com espaçamento entre linhas 1,5)</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O artigo deve ser redigido em fonte Times New Roman tamanho 12, com recuo de 1,25 na primeira linha, espaçamento entre linhas 1,5, sem espaço entre os parágrafos e alinhamento justificado. </w:t>
      </w:r>
      <w:r w:rsidDel="00000000" w:rsidR="00000000" w:rsidRPr="00000000">
        <w:rPr>
          <w:rFonts w:ascii="Times New Roman" w:cs="Times New Roman" w:eastAsia="Times New Roman" w:hAnsi="Times New Roman"/>
          <w:sz w:val="24"/>
          <w:szCs w:val="24"/>
          <w:highlight w:val="white"/>
          <w:rtl w:val="0"/>
        </w:rPr>
        <w:t xml:space="preserve">Deve possuir entre 35.000 e 60.000 caracteres com espaço, incluindo resumo, abstract, figuras, tabelas e referências. As páginas deverão</w:t>
      </w:r>
      <w:r w:rsidDel="00000000" w:rsidR="00000000" w:rsidRPr="00000000">
        <w:rPr>
          <w:rFonts w:ascii="Quattrocento Sans" w:cs="Quattrocento Sans" w:eastAsia="Quattrocento Sans" w:hAnsi="Quattrocento Sans"/>
          <w:sz w:val="20"/>
          <w:szCs w:val="20"/>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ser configuradas para papel A4, observando as seguintes orientações: margem direita/superior/inferior 2,5 cm; margem esquerda 3,0 cm.</w:t>
      </w:r>
      <w:r w:rsidDel="00000000" w:rsidR="00000000" w:rsidRPr="00000000">
        <w:rPr>
          <w:rtl w:val="0"/>
        </w:rPr>
      </w:r>
    </w:p>
    <w:p w:rsidR="00000000" w:rsidDel="00000000" w:rsidP="00000000" w:rsidRDefault="00000000" w:rsidRPr="00000000" w14:paraId="0000001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método empregado pelas Normas APA é autor-data, isto é, o sobrenome do autor e o ano de publicação (não inclua sufixos como Jr.). O texto deve ser documentado citando o autor e a data de publicação dos trabalhos pesquisados e consultados. Todos os autores citados no texto, e apenas eles, devem estar presentes nas referências com as informações completas. Este procedimento é obrigatório. Citação com menos de 40 palavras deve permanecer incorporada no texto entre aspas duplas, exemplo: interpretada por DiMaggio e Powell (1983, p. 152), como "a luta coletiva dos membros de uma ocupação para definir as condições e métodos de sua atividade [...] e para estabelecer uma base cognitiva e de legitimação para sua autonomia ocupacional". </w:t>
      </w:r>
    </w:p>
    <w:p w:rsidR="00000000" w:rsidDel="00000000" w:rsidP="00000000" w:rsidRDefault="00000000" w:rsidRPr="00000000" w14:paraId="0000001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Citação acima de 40 palavras deve ser apresentada em nova linha, num bloco independente, com recuo de 1,25 cm do parágrafo da margem esquerda, sem aspas, segue com o mesmo espaçamento entre linhas de 1,5 e a fonte segue o tamanho normal do texto Times New Roman 12. Observe o exemplo abaixo: </w:t>
      </w:r>
    </w:p>
    <w:p w:rsidR="00000000" w:rsidDel="00000000" w:rsidP="00000000" w:rsidRDefault="00000000" w:rsidRPr="00000000" w14:paraId="0000001D">
      <w:pPr>
        <w:spacing w:after="0" w:line="360" w:lineRule="auto"/>
        <w:ind w:left="70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modo racional referente a fins, por expectativas quanto ao comportamento de objetos do mundo exterior e de outras pessoas, utilizando estas expectativas como condições ou meios para alcançar fins próprios, ponderados e perseguidos racionalmente, com sucesso; de modo racional referente a valores, pela crença consciente no valor — ético, estético, religioso ou qualquer que seja sua interpretação — absoluto e inerente a determinado comportamento como tal, independentemente do resultado; de modo afetivo, especialmente emocional, por afetos ou estados emocionais atuais; de modo tradicional, por costume arraigado. (Weber, 1994, p. 15). </w:t>
      </w:r>
    </w:p>
    <w:p w:rsidR="00000000" w:rsidDel="00000000" w:rsidP="00000000" w:rsidRDefault="00000000" w:rsidRPr="00000000" w14:paraId="0000001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da seção (sem numeração, em negrito, em letra minúscula e com espaçamento entre linhas 1,5)</w:t>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Quando houver tabelas e/ou quadro devem estar numerados progressivamente. A identificação deve estar na parte superior, em fonte tamanho 11, espaçamento simples e centralizado. Um espaço simples (enter) entre o corpo do texto e a tabela/o quadro.</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Quadro 1: exemplo template.</w:t>
      </w:r>
    </w:p>
    <w:p w:rsidR="00000000" w:rsidDel="00000000" w:rsidP="00000000" w:rsidRDefault="00000000" w:rsidRPr="00000000" w14:paraId="000000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s">
            <w:drawing>
              <wp:inline distB="0" distT="0" distL="0" distR="0">
                <wp:extent cx="4564684" cy="1404620"/>
                <wp:effectExtent b="0" l="0" r="0" t="0"/>
                <wp:docPr id="1" name=""/>
                <a:graphic>
                  <a:graphicData uri="http://schemas.microsoft.com/office/word/2010/wordprocessingShape">
                    <wps:wsp>
                      <wps:cNvSpPr/>
                      <wps:spPr>
                        <a:xfrm>
                          <a:off x="0" y="0"/>
                          <a:ext cx="4564684" cy="14046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BC21E6" w:rsidDel="00000000" w:rsidP="00000000" w:rsidRDefault="000660CB" w:rsidRPr="00000000">
                            <w:pPr>
                              <w:spacing w:after="0" w:line="240" w:lineRule="auto"/>
                              <w:jc w:val="both"/>
                              <w:textDirection w:val="btLr"/>
                            </w:pPr>
                            <w:r w:rsidDel="00000000" w:rsidR="00000000" w:rsidRPr="00000000">
                              <w:rPr>
                                <w:rFonts w:ascii="Times New Roman" w:cs="Times New Roman" w:eastAsia="Times New Roman" w:hAnsi="Times New Roman"/>
                                <w:color w:val="000000"/>
                              </w:rPr>
                              <w:t>A fonte utilizada em quadros e tabelas deve estar em tamanho 11, espaçamento entre linhas simples e alinhamento justificado</w:t>
                            </w:r>
                          </w:p>
                        </w:txbxContent>
                      </wps:txbx>
                      <wps:bodyPr anchorCtr="0" anchor="t" bIns="45700" lIns="91425" spcFirstLastPara="1" rIns="91425" wrap="square" tIns="45700">
                        <a:noAutofit/>
                      </wps:bodyPr>
                    </wps:wsp>
                  </a:graphicData>
                </a:graphic>
              </wp:inline>
            </w:drawing>
          </mc:Choice>
          <mc:Fallback>
            <w:drawing>
              <wp:inline distB="0" distT="0" distL="0" distR="0">
                <wp:extent cx="4564684" cy="140462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564684" cy="14046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template da Revista Momento – Diálogos em Educação.</w:t>
      </w:r>
    </w:p>
    <w:p w:rsidR="00000000" w:rsidDel="00000000" w:rsidP="00000000" w:rsidRDefault="00000000" w:rsidRPr="00000000" w14:paraId="0000002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fonte da tabela ou quadro deve estar na parte inferior, fonte tamanho 11, espaçamento simples e centralizado. Dois espaços simples (enter) entre a tabela/o quadro e o corpo do texto.</w:t>
      </w:r>
    </w:p>
    <w:p w:rsidR="00000000" w:rsidDel="00000000" w:rsidP="00000000" w:rsidRDefault="00000000" w:rsidRPr="00000000" w14:paraId="0000002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houver figuras ou gráficos devem estar numerados progressivamente e centralizados. A identificação deve estar na parte superior, em fonte tamanho 11, espaçamento simples e centralizado. Um espaço simples (enter) entre o corpo do texto e a figura/o gráfico.</w:t>
      </w:r>
    </w:p>
    <w:p w:rsidR="00000000" w:rsidDel="00000000" w:rsidP="00000000" w:rsidRDefault="00000000" w:rsidRPr="00000000" w14:paraId="00000029">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Figura 1: cabeçalho Revista Momento.</w:t>
      </w:r>
    </w:p>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drawing>
          <wp:inline distB="0" distT="0" distL="0" distR="0">
            <wp:extent cx="5106079" cy="1038302"/>
            <wp:effectExtent b="0" l="0" r="0" t="0"/>
            <wp:docPr descr="Logotipo, nome da empresa&#10;&#10;Descrição gerada automaticamente" id="4" name="image4.png"/>
            <a:graphic>
              <a:graphicData uri="http://schemas.openxmlformats.org/drawingml/2006/picture">
                <pic:pic>
                  <pic:nvPicPr>
                    <pic:cNvPr descr="Logotipo, nome da empresa&#10;&#10;Descrição gerada automaticamente" id="0" name="image4.png"/>
                    <pic:cNvPicPr preferRelativeResize="0"/>
                  </pic:nvPicPr>
                  <pic:blipFill>
                    <a:blip r:embed="rId10"/>
                    <a:srcRect b="0" l="0" r="0" t="0"/>
                    <a:stretch>
                      <a:fillRect/>
                    </a:stretch>
                  </pic:blipFill>
                  <pic:spPr>
                    <a:xfrm>
                      <a:off x="0" y="0"/>
                      <a:ext cx="5106079" cy="1038302"/>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w:t>
      </w:r>
      <w:hyperlink r:id="rId11">
        <w:r w:rsidDel="00000000" w:rsidR="00000000" w:rsidRPr="00000000">
          <w:rPr>
            <w:rFonts w:ascii="Times New Roman" w:cs="Times New Roman" w:eastAsia="Times New Roman" w:hAnsi="Times New Roman"/>
            <w:color w:val="1155cc"/>
            <w:u w:val="single"/>
            <w:rtl w:val="0"/>
          </w:rPr>
          <w:t xml:space="preserve">https://periodicos.furg.br/momento</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D">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fonte da figura ou gráfico deve estar na parte inferior, fonte tamanho 11, espaçamento simples e centralizado. Dois espaços simples (enter) entre a figura/o gráfico e o corpo do texto</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w:t>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As referências devem seguir as normas da APA. Espaçamento entrelinhas duplo, alinhamento à esquerda. Recuo especial deslocamento a partir da segunda linha da referência.</w:t>
      </w:r>
    </w:p>
    <w:p w:rsidR="00000000" w:rsidDel="00000000" w:rsidP="00000000" w:rsidRDefault="00000000" w:rsidRPr="00000000" w14:paraId="0000003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Exemplos:</w:t>
      </w:r>
    </w:p>
    <w:p w:rsidR="00000000" w:rsidDel="00000000" w:rsidP="00000000" w:rsidRDefault="00000000" w:rsidRPr="00000000" w14:paraId="00000034">
      <w:pPr>
        <w:spacing w:line="480" w:lineRule="auto"/>
        <w:ind w:left="720" w:hanging="72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Avery, R. J., Bryant, W. K., Mathios, A., Kang, H., &amp; Bell, D. (2006). Electronic course evaluations: Does an online delivery system influence student evaluations? </w:t>
      </w:r>
      <w:r w:rsidDel="00000000" w:rsidR="00000000" w:rsidRPr="00000000">
        <w:rPr>
          <w:rFonts w:ascii="Times New Roman" w:cs="Times New Roman" w:eastAsia="Times New Roman" w:hAnsi="Times New Roman"/>
          <w:i w:val="1"/>
          <w:sz w:val="24"/>
          <w:szCs w:val="24"/>
          <w:rtl w:val="0"/>
        </w:rPr>
        <w:t xml:space="preserve">The Journal of Economic Education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37</w:t>
      </w:r>
      <w:r w:rsidDel="00000000" w:rsidR="00000000" w:rsidRPr="00000000">
        <w:rPr>
          <w:rFonts w:ascii="Times New Roman" w:cs="Times New Roman" w:eastAsia="Times New Roman" w:hAnsi="Times New Roman"/>
          <w:sz w:val="24"/>
          <w:szCs w:val="24"/>
          <w:rtl w:val="0"/>
        </w:rPr>
        <w:t xml:space="preserve">(1), 21–37. </w:t>
      </w:r>
      <w:hyperlink r:id="rId12">
        <w:r w:rsidDel="00000000" w:rsidR="00000000" w:rsidRPr="00000000">
          <w:rPr>
            <w:rFonts w:ascii="Times New Roman" w:cs="Times New Roman" w:eastAsia="Times New Roman" w:hAnsi="Times New Roman"/>
            <w:color w:val="0563c1"/>
            <w:sz w:val="24"/>
            <w:szCs w:val="24"/>
            <w:u w:val="single"/>
            <w:rtl w:val="0"/>
          </w:rPr>
          <w:t xml:space="preserve">https://doi.org/10.3200/JECE.37.1.21-37</w:t>
        </w:r>
      </w:hyperlink>
      <w:r w:rsidDel="00000000" w:rsidR="00000000" w:rsidRPr="00000000">
        <w:rPr>
          <w:rtl w:val="0"/>
        </w:rPr>
      </w:r>
    </w:p>
    <w:p w:rsidR="00000000" w:rsidDel="00000000" w:rsidP="00000000" w:rsidRDefault="00000000" w:rsidRPr="00000000" w14:paraId="0000003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 R. A. (2012). Top 20 strategies to increase the online response rates of student rating scales. </w:t>
      </w:r>
      <w:r w:rsidDel="00000000" w:rsidR="00000000" w:rsidRPr="00000000">
        <w:rPr>
          <w:rFonts w:ascii="Times New Roman" w:cs="Times New Roman" w:eastAsia="Times New Roman" w:hAnsi="Times New Roman"/>
          <w:i w:val="1"/>
          <w:sz w:val="24"/>
          <w:szCs w:val="24"/>
          <w:rtl w:val="0"/>
        </w:rPr>
        <w:t xml:space="preserve">International Journal of Technology in Teaching and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 98–107.</w:t>
      </w:r>
    </w:p>
    <w:p w:rsidR="00000000" w:rsidDel="00000000" w:rsidP="00000000" w:rsidRDefault="00000000" w:rsidRPr="00000000" w14:paraId="0000003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 R. A. (2013). </w:t>
      </w:r>
      <w:r w:rsidDel="00000000" w:rsidR="00000000" w:rsidRPr="00000000">
        <w:rPr>
          <w:rFonts w:ascii="Times New Roman" w:cs="Times New Roman" w:eastAsia="Times New Roman" w:hAnsi="Times New Roman"/>
          <w:i w:val="1"/>
          <w:sz w:val="24"/>
          <w:szCs w:val="24"/>
          <w:rtl w:val="0"/>
        </w:rPr>
        <w:t xml:space="preserve">Top 10 flashpoints in student ratings and the evaluation of teaching</w:t>
      </w:r>
      <w:r w:rsidDel="00000000" w:rsidR="00000000" w:rsidRPr="00000000">
        <w:rPr>
          <w:rFonts w:ascii="Times New Roman" w:cs="Times New Roman" w:eastAsia="Times New Roman" w:hAnsi="Times New Roman"/>
          <w:sz w:val="24"/>
          <w:szCs w:val="24"/>
          <w:rtl w:val="0"/>
        </w:rPr>
        <w:t xml:space="preserve">. Stylus.</w:t>
      </w:r>
    </w:p>
    <w:p w:rsidR="00000000" w:rsidDel="00000000" w:rsidP="00000000" w:rsidRDefault="00000000" w:rsidRPr="00000000" w14:paraId="0000003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Boysen, G. A. (2015a). Preventing the overinterpretation of small mean differences in student evaluations of teaching: An evaluation of warning effectiveness. </w:t>
      </w:r>
      <w:r w:rsidDel="00000000" w:rsidR="00000000" w:rsidRPr="00000000">
        <w:rPr>
          <w:rFonts w:ascii="Times New Roman" w:cs="Times New Roman" w:eastAsia="Times New Roman" w:hAnsi="Times New Roman"/>
          <w:i w:val="1"/>
          <w:sz w:val="24"/>
          <w:szCs w:val="24"/>
          <w:rtl w:val="0"/>
        </w:rPr>
        <w:t xml:space="preserve">Scholarship of Teaching and Learning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(4), 269–282.</w:t>
      </w:r>
      <w:r w:rsidDel="00000000" w:rsidR="00000000" w:rsidRPr="00000000">
        <w:rPr>
          <w:rFonts w:ascii="Times New Roman" w:cs="Times New Roman" w:eastAsia="Times New Roman" w:hAnsi="Times New Roman"/>
          <w:color w:val="000000"/>
          <w:sz w:val="24"/>
          <w:szCs w:val="24"/>
          <w:u w:val="single"/>
          <w:rtl w:val="0"/>
        </w:rPr>
        <w:t xml:space="preserve"> </w:t>
      </w:r>
      <w:hyperlink r:id="rId13">
        <w:r w:rsidDel="00000000" w:rsidR="00000000" w:rsidRPr="00000000">
          <w:rPr>
            <w:rFonts w:ascii="Times New Roman" w:cs="Times New Roman" w:eastAsia="Times New Roman" w:hAnsi="Times New Roman"/>
            <w:color w:val="0563c1"/>
            <w:sz w:val="24"/>
            <w:szCs w:val="24"/>
            <w:u w:val="single"/>
            <w:rtl w:val="0"/>
          </w:rPr>
          <w:t xml:space="preserve">https://doi.org/10.1037/stl0000042</w:t>
        </w:r>
      </w:hyperlink>
      <w:r w:rsidDel="00000000" w:rsidR="00000000" w:rsidRPr="00000000">
        <w:rPr>
          <w:rtl w:val="0"/>
        </w:rPr>
      </w:r>
    </w:p>
    <w:p w:rsidR="00000000" w:rsidDel="00000000" w:rsidP="00000000" w:rsidRDefault="00000000" w:rsidRPr="00000000" w14:paraId="0000003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Boysen, G. A. (2015b). Significant interpretation of small mean differences in student evaluations of teaching despite explicit warning to avoid overinterpretation. </w:t>
      </w:r>
      <w:r w:rsidDel="00000000" w:rsidR="00000000" w:rsidRPr="00000000">
        <w:rPr>
          <w:rFonts w:ascii="Times New Roman" w:cs="Times New Roman" w:eastAsia="Times New Roman" w:hAnsi="Times New Roman"/>
          <w:i w:val="1"/>
          <w:sz w:val="24"/>
          <w:szCs w:val="24"/>
          <w:rtl w:val="0"/>
        </w:rPr>
        <w:t xml:space="preserve">Scholarship of Teaching and Learning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 150–162. </w:t>
      </w:r>
      <w:hyperlink r:id="rId14">
        <w:r w:rsidDel="00000000" w:rsidR="00000000" w:rsidRPr="00000000">
          <w:rPr>
            <w:rFonts w:ascii="Times New Roman" w:cs="Times New Roman" w:eastAsia="Times New Roman" w:hAnsi="Times New Roman"/>
            <w:color w:val="0563c1"/>
            <w:sz w:val="24"/>
            <w:szCs w:val="24"/>
            <w:u w:val="single"/>
            <w:rtl w:val="0"/>
          </w:rPr>
          <w:t xml:space="preserve">https://doi.org/10.1037/stl0000017</w:t>
        </w:r>
      </w:hyperlink>
      <w:r w:rsidDel="00000000" w:rsidR="00000000" w:rsidRPr="00000000">
        <w:rPr>
          <w:rtl w:val="0"/>
        </w:rPr>
      </w:r>
    </w:p>
    <w:p w:rsidR="00000000" w:rsidDel="00000000" w:rsidP="00000000" w:rsidRDefault="00000000" w:rsidRPr="00000000" w14:paraId="0000003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Boysen, G. A., Kelly, T. J., Raesly, H. N., &amp; Casner, R. W. (2014). The (mis)interpretation of teaching evaluations by college faculty and administrators. </w:t>
      </w:r>
      <w:r w:rsidDel="00000000" w:rsidR="00000000" w:rsidRPr="00000000">
        <w:rPr>
          <w:rFonts w:ascii="Times New Roman" w:cs="Times New Roman" w:eastAsia="Times New Roman" w:hAnsi="Times New Roman"/>
          <w:i w:val="1"/>
          <w:sz w:val="24"/>
          <w:szCs w:val="24"/>
          <w:rtl w:val="0"/>
        </w:rPr>
        <w:t xml:space="preserve">Assessment &amp; Evaluation in Higher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(6), 641–656. </w:t>
      </w:r>
      <w:hyperlink r:id="rId15">
        <w:r w:rsidDel="00000000" w:rsidR="00000000" w:rsidRPr="00000000">
          <w:rPr>
            <w:rFonts w:ascii="Times New Roman" w:cs="Times New Roman" w:eastAsia="Times New Roman" w:hAnsi="Times New Roman"/>
            <w:color w:val="0563c1"/>
            <w:sz w:val="24"/>
            <w:szCs w:val="24"/>
            <w:u w:val="single"/>
            <w:rtl w:val="0"/>
          </w:rPr>
          <w:t xml:space="preserve">https://doi.org/10.1080/02602938.2013.860950</w:t>
        </w:r>
      </w:hyperlink>
      <w:r w:rsidDel="00000000" w:rsidR="00000000" w:rsidRPr="00000000">
        <w:rPr>
          <w:rtl w:val="0"/>
        </w:rPr>
      </w:r>
    </w:p>
    <w:p w:rsidR="00000000" w:rsidDel="00000000" w:rsidP="00000000" w:rsidRDefault="00000000" w:rsidRPr="00000000" w14:paraId="0000003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Dewar, J. M. (2011). Helping stakeholders understand the limitations of SRT data: Are we doing enough? </w:t>
      </w:r>
      <w:r w:rsidDel="00000000" w:rsidR="00000000" w:rsidRPr="00000000">
        <w:rPr>
          <w:rFonts w:ascii="Times New Roman" w:cs="Times New Roman" w:eastAsia="Times New Roman" w:hAnsi="Times New Roman"/>
          <w:i w:val="1"/>
          <w:sz w:val="24"/>
          <w:szCs w:val="24"/>
          <w:rtl w:val="0"/>
        </w:rPr>
        <w:t xml:space="preserve">Journal of Faculty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(3), 40–44.</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Submissão em: xx/xx/xxxx</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Aceito em: xx/xx/xxxx</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Citações e referências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
          <w:szCs w:val="2"/>
        </w:rPr>
      </w:pPr>
      <w:r w:rsidDel="00000000" w:rsidR="00000000" w:rsidRPr="00000000">
        <w:rPr>
          <w:rFonts w:ascii="Times New Roman" w:cs="Times New Roman" w:eastAsia="Times New Roman" w:hAnsi="Times New Roman"/>
          <w:color w:val="000000"/>
          <w:sz w:val="24"/>
          <w:szCs w:val="24"/>
          <w:rtl w:val="0"/>
        </w:rPr>
        <w:t xml:space="preserve"> conforme normas da:</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color w:val="000000"/>
          <w:sz w:val="4"/>
          <w:szCs w:val="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1319714" cy="521338"/>
            <wp:effectExtent b="0" l="0" r="0" t="0"/>
            <wp:docPr descr="Janela de vidro&#10;&#10;Descrição gerada automaticamente com confiança baixa" id="3" name="image3.png"/>
            <a:graphic>
              <a:graphicData uri="http://schemas.openxmlformats.org/drawingml/2006/picture">
                <pic:pic>
                  <pic:nvPicPr>
                    <pic:cNvPr descr="Janela de vidro&#10;&#10;Descrição gerada automaticamente com confiança baixa" id="0" name="image3.png"/>
                    <pic:cNvPicPr preferRelativeResize="0"/>
                  </pic:nvPicPr>
                  <pic:blipFill>
                    <a:blip r:embed="rId16"/>
                    <a:srcRect b="0" l="0" r="0" t="0"/>
                    <a:stretch>
                      <a:fillRect/>
                    </a:stretch>
                  </pic:blipFill>
                  <pic:spPr>
                    <a:xfrm>
                      <a:off x="0" y="0"/>
                      <a:ext cx="1319714" cy="521338"/>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1440" w:top="1440" w:left="1440" w:right="1440"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Revista Momento – diálogos em educação, E-ISSN 2316-3100, v. x, n. x, p. xx-xx, mês/mês., ano.</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DOI:</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252"/>
        <w:tab w:val="right" w:leader="none" w:pos="8504"/>
        <w:tab w:val="left" w:leader="none" w:pos="1190"/>
      </w:tabs>
      <w:spacing w:after="0" w:line="240" w:lineRule="auto"/>
      <w:jc w:val="both"/>
      <w:rPr>
        <w:rFonts w:ascii="Times New Roman" w:cs="Times New Roman" w:eastAsia="Times New Roman" w:hAnsi="Times New Roman"/>
        <w:color w:val="000000"/>
        <w:sz w:val="24"/>
        <w:szCs w:val="24"/>
      </w:rPr>
    </w:pPr>
    <w:r w:rsidDel="00000000" w:rsidR="00000000" w:rsidRPr="00000000">
      <w:rPr>
        <w:color w:val="000000"/>
      </w:rPr>
      <w:drawing>
        <wp:inline distB="0" distT="0" distL="0" distR="0">
          <wp:extent cx="2643752" cy="160327"/>
          <wp:effectExtent b="0" l="0" r="0" t="0"/>
          <wp:docPr descr="Interface gráfica do usuário, Aplicativo, Word&#10;&#10;Descrição gerada automaticamente" id="5" name="image5.png"/>
          <a:graphic>
            <a:graphicData uri="http://schemas.openxmlformats.org/drawingml/2006/picture">
              <pic:pic>
                <pic:nvPicPr>
                  <pic:cNvPr descr="Interface gráfica do usuário, Aplicativo, Word&#10;&#10;Descrição gerada automaticamente" id="0" name="image5.png"/>
                  <pic:cNvPicPr preferRelativeResize="0"/>
                </pic:nvPicPr>
                <pic:blipFill>
                  <a:blip r:embed="rId1"/>
                  <a:srcRect b="47691" l="4011" r="51292" t="43873"/>
                  <a:stretch>
                    <a:fillRect/>
                  </a:stretch>
                </pic:blipFill>
                <pic:spPr>
                  <a:xfrm>
                    <a:off x="0" y="0"/>
                    <a:ext cx="2643752" cy="160327"/>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Para garantir a avaliação as cegas, não colocar o nome dos(as) autores(as) no primeiro momento. Espaçamento entrelinhas simples entre o nome dos autores.</w:t>
      </w:r>
    </w:p>
  </w:footnote>
  <w:footnote w:id="1">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Durante a submissão do artigo, na aba “contribuidores”, informar nome, e-mail, país, Orcid ID, instituição e resumo da biografia de todos(as) os(as) autores(as). No resumo da biografia dos(as) autores(as) devem constar apenas: titulação, graduação, instituição, grupo de pesquisa (se houver) e e-mail de contato, totalizando no máximo 4 linhas.</w:t>
      </w:r>
    </w:p>
  </w:footnote>
  <w:footnote w:id="2">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Ex: Doutor em Educação pela Universidade Federal do Rio Grande. Mestre em Educação pela Universidade Federal do Rio Grande. Professor adjunto na Universidade Federal do Rio Grande. Membro do Grupo de Estudos em Alfabetização e Letramento – GEALI da Universidade Federal do Rio Grande. E-mail de contato: </w:t>
      </w:r>
      <w:hyperlink r:id="rId1">
        <w:r w:rsidDel="00000000" w:rsidR="00000000" w:rsidRPr="00000000">
          <w:rPr>
            <w:rFonts w:ascii="Times New Roman" w:cs="Times New Roman" w:eastAsia="Times New Roman" w:hAnsi="Times New Roman"/>
            <w:color w:val="0563c1"/>
            <w:sz w:val="20"/>
            <w:szCs w:val="20"/>
            <w:u w:val="single"/>
            <w:rtl w:val="0"/>
          </w:rPr>
          <w:t xml:space="preserve">exemplo@exemplo.com</w:t>
        </w:r>
      </w:hyperlink>
      <w:r w:rsidDel="00000000" w:rsidR="00000000" w:rsidRPr="00000000">
        <w:rPr>
          <w:rFonts w:ascii="Times New Roman" w:cs="Times New Roman" w:eastAsia="Times New Roman" w:hAnsi="Times New Roman"/>
          <w:color w:val="000000"/>
          <w:sz w:val="20"/>
          <w:szCs w:val="20"/>
          <w:rtl w:val="0"/>
        </w:rPr>
        <w:t xml:space="preserve">. </w:t>
      </w:r>
    </w:p>
  </w:footnote>
  <w:footnote w:id="3">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As notas de rodapé estar em fonte Times New Roman, tamanho 10, espaçamento entrelinhas simples e alinhamento justificado.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701"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-1057273</wp:posOffset>
          </wp:positionH>
          <wp:positionV relativeFrom="paragraph">
            <wp:posOffset>19050</wp:posOffset>
          </wp:positionV>
          <wp:extent cx="7590535" cy="1543507"/>
          <wp:effectExtent b="0" l="0" r="0" t="0"/>
          <wp:wrapTopAndBottom distB="0" distT="0"/>
          <wp:docPr descr="Logotipo, nome da empresa&#10;&#10;Descrição gerada automaticamente" id="2" name="image1.png"/>
          <a:graphic>
            <a:graphicData uri="http://schemas.openxmlformats.org/drawingml/2006/picture">
              <pic:pic>
                <pic:nvPicPr>
                  <pic:cNvPr descr="Logotipo, nome da empresa&#10;&#10;Descrição gerada automaticamente" id="0" name="image1.png"/>
                  <pic:cNvPicPr preferRelativeResize="0"/>
                </pic:nvPicPr>
                <pic:blipFill>
                  <a:blip r:embed="rId1"/>
                  <a:srcRect b="0" l="0" r="0" t="0"/>
                  <a:stretch>
                    <a:fillRect/>
                  </a:stretch>
                </pic:blipFill>
                <pic:spPr>
                  <a:xfrm>
                    <a:off x="0" y="0"/>
                    <a:ext cx="7590535" cy="154350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periodicos.furg.br/momento" TargetMode="External"/><Relationship Id="rId22" Type="http://schemas.openxmlformats.org/officeDocument/2006/relationships/footer" Target="footer1.xml"/><Relationship Id="rId10" Type="http://schemas.openxmlformats.org/officeDocument/2006/relationships/image" Target="media/image4.png"/><Relationship Id="rId21" Type="http://schemas.openxmlformats.org/officeDocument/2006/relationships/footer" Target="footer2.xml"/><Relationship Id="rId13" Type="http://schemas.openxmlformats.org/officeDocument/2006/relationships/hyperlink" Target="https://doi.org/10.1037/stl0000042" TargetMode="External"/><Relationship Id="rId12" Type="http://schemas.openxmlformats.org/officeDocument/2006/relationships/hyperlink" Target="https://doi.org/10.3200/JECE.37.1.21-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hyperlink" Target="https://doi.org/10.1080/02602938.2013.860950" TargetMode="External"/><Relationship Id="rId14" Type="http://schemas.openxmlformats.org/officeDocument/2006/relationships/hyperlink" Target="https://doi.org/10.1037/stl0000017" TargetMode="External"/><Relationship Id="rId17" Type="http://schemas.openxmlformats.org/officeDocument/2006/relationships/header" Target="header1.xml"/><Relationship Id="rId16" Type="http://schemas.openxmlformats.org/officeDocument/2006/relationships/image" Target="media/image3.png"/><Relationship Id="rId5" Type="http://schemas.openxmlformats.org/officeDocument/2006/relationships/numbering" Target="numbering.xml"/><Relationship Id="rId19" Type="http://schemas.openxmlformats.org/officeDocument/2006/relationships/header" Target="header2.xml"/><Relationship Id="rId6" Type="http://schemas.openxmlformats.org/officeDocument/2006/relationships/styles" Target="styles.xml"/><Relationship Id="rId18" Type="http://schemas.openxmlformats.org/officeDocument/2006/relationships/header" Target="header3.xml"/><Relationship Id="rId7" Type="http://schemas.openxmlformats.org/officeDocument/2006/relationships/hyperlink" Target="https://periodicos.furg.br/momento" TargetMode="External"/><Relationship Id="rId8" Type="http://schemas.openxmlformats.org/officeDocument/2006/relationships/hyperlink" Target="mailto:revistamomento@furg.b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mailto:exemplo@exempl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